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94" w:rsidRPr="00A90F3A" w:rsidRDefault="009A3194" w:rsidP="009A3194">
      <w:pPr>
        <w:spacing w:line="254" w:lineRule="auto"/>
        <w:ind w:left="5954"/>
        <w:contextualSpacing/>
        <w:rPr>
          <w:lang w:val="uk-UA"/>
        </w:rPr>
      </w:pPr>
      <w:r>
        <w:rPr>
          <w:lang w:val="uk-UA"/>
        </w:rPr>
        <w:t>Додаток 2</w:t>
      </w:r>
    </w:p>
    <w:p w:rsidR="009A3194" w:rsidRPr="00A90F3A" w:rsidRDefault="009A3194" w:rsidP="009A3194">
      <w:pPr>
        <w:spacing w:line="254" w:lineRule="auto"/>
        <w:ind w:left="5954"/>
        <w:contextualSpacing/>
        <w:rPr>
          <w:lang w:val="uk-UA"/>
        </w:rPr>
      </w:pPr>
      <w:r w:rsidRPr="00A90F3A">
        <w:rPr>
          <w:lang w:val="uk-UA"/>
        </w:rPr>
        <w:t>ЗАТВЕРДЖЕНО</w:t>
      </w:r>
    </w:p>
    <w:p w:rsidR="009A3194" w:rsidRPr="00A90F3A" w:rsidRDefault="009A3194" w:rsidP="009A3194">
      <w:pPr>
        <w:spacing w:line="254" w:lineRule="auto"/>
        <w:ind w:left="5954"/>
        <w:contextualSpacing/>
        <w:rPr>
          <w:lang w:val="uk-UA"/>
        </w:rPr>
      </w:pPr>
      <w:r>
        <w:rPr>
          <w:lang w:val="uk-UA"/>
        </w:rPr>
        <w:t>н</w:t>
      </w:r>
      <w:r w:rsidRPr="00A90F3A">
        <w:rPr>
          <w:lang w:val="uk-UA"/>
        </w:rPr>
        <w:t xml:space="preserve">аказом керівника апарату Роздільнянського районного суду Одеської області </w:t>
      </w:r>
    </w:p>
    <w:p w:rsidR="009A3194" w:rsidRPr="00A90F3A" w:rsidRDefault="009A3194" w:rsidP="009A3194">
      <w:pPr>
        <w:spacing w:line="254" w:lineRule="auto"/>
        <w:ind w:left="5954"/>
        <w:contextualSpacing/>
        <w:rPr>
          <w:lang w:val="uk-UA"/>
        </w:rPr>
      </w:pPr>
      <w:r w:rsidRPr="00A90F3A">
        <w:rPr>
          <w:lang w:val="uk-UA"/>
        </w:rPr>
        <w:t xml:space="preserve">від </w:t>
      </w:r>
      <w:r>
        <w:rPr>
          <w:lang w:val="uk-UA"/>
        </w:rPr>
        <w:t>11</w:t>
      </w:r>
      <w:r w:rsidRPr="00A90F3A">
        <w:rPr>
          <w:lang w:val="uk-UA"/>
        </w:rPr>
        <w:t>.</w:t>
      </w:r>
      <w:r>
        <w:rPr>
          <w:lang w:val="uk-UA"/>
        </w:rPr>
        <w:t>02</w:t>
      </w:r>
      <w:r w:rsidRPr="00A90F3A">
        <w:rPr>
          <w:lang w:val="uk-UA"/>
        </w:rPr>
        <w:t>.202</w:t>
      </w:r>
      <w:r>
        <w:rPr>
          <w:lang w:val="uk-UA"/>
        </w:rPr>
        <w:t>2</w:t>
      </w:r>
      <w:r w:rsidRPr="00A90F3A">
        <w:rPr>
          <w:lang w:val="uk-UA"/>
        </w:rPr>
        <w:t xml:space="preserve"> року  №</w:t>
      </w:r>
      <w:r>
        <w:rPr>
          <w:lang w:val="uk-UA"/>
        </w:rPr>
        <w:t>1</w:t>
      </w:r>
      <w:r w:rsidRPr="00A90F3A">
        <w:rPr>
          <w:lang w:val="uk-UA"/>
        </w:rPr>
        <w:t xml:space="preserve">-зп  </w:t>
      </w:r>
    </w:p>
    <w:p w:rsidR="009A3194" w:rsidRDefault="009A3194" w:rsidP="009A3194">
      <w:pPr>
        <w:ind w:left="6237"/>
        <w:contextualSpacing/>
        <w:rPr>
          <w:lang w:val="uk-UA"/>
        </w:rPr>
      </w:pPr>
    </w:p>
    <w:p w:rsidR="009A3194" w:rsidRPr="00897943" w:rsidRDefault="009A3194" w:rsidP="009A3194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897943">
        <w:rPr>
          <w:sz w:val="26"/>
          <w:szCs w:val="20"/>
          <w:lang w:val="uk-UA"/>
        </w:rPr>
        <w:t xml:space="preserve">УМОВИ </w:t>
      </w:r>
      <w:r w:rsidRPr="00CE154C">
        <w:rPr>
          <w:sz w:val="26"/>
          <w:szCs w:val="20"/>
        </w:rPr>
        <w:t xml:space="preserve">   </w:t>
      </w:r>
      <w:r w:rsidRPr="0054588E">
        <w:rPr>
          <w:sz w:val="26"/>
          <w:szCs w:val="20"/>
        </w:rPr>
        <w:t xml:space="preserve">  </w:t>
      </w:r>
      <w:r w:rsidRPr="00897943">
        <w:rPr>
          <w:sz w:val="26"/>
          <w:szCs w:val="20"/>
          <w:lang w:val="uk-UA"/>
        </w:rPr>
        <w:br/>
        <w:t>проведення конкурсу</w:t>
      </w:r>
    </w:p>
    <w:p w:rsidR="009A3194" w:rsidRPr="00981181" w:rsidRDefault="009A3194" w:rsidP="009A3194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897943">
        <w:rPr>
          <w:sz w:val="26"/>
          <w:szCs w:val="20"/>
        </w:rPr>
        <w:t xml:space="preserve">на </w:t>
      </w:r>
      <w:r w:rsidRPr="00981181">
        <w:rPr>
          <w:sz w:val="26"/>
          <w:szCs w:val="20"/>
          <w:lang w:val="uk-UA"/>
        </w:rPr>
        <w:t xml:space="preserve">зайняття вакантної посади </w:t>
      </w:r>
      <w:bookmarkStart w:id="0" w:name="_GoBack"/>
      <w:r w:rsidRPr="00981181">
        <w:rPr>
          <w:sz w:val="26"/>
          <w:szCs w:val="20"/>
          <w:lang w:val="uk-UA"/>
        </w:rPr>
        <w:t>головного спеціаліста (з інформаційних технологій)</w:t>
      </w:r>
      <w:bookmarkEnd w:id="0"/>
    </w:p>
    <w:p w:rsidR="009A3194" w:rsidRPr="00981181" w:rsidRDefault="009A3194" w:rsidP="009A3194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981181">
        <w:rPr>
          <w:sz w:val="26"/>
          <w:szCs w:val="20"/>
          <w:lang w:val="uk-UA"/>
        </w:rPr>
        <w:t>Роздільнянського районного суду Одеської області (категорія «В»)</w:t>
      </w:r>
    </w:p>
    <w:p w:rsidR="009A3194" w:rsidRPr="00981181" w:rsidRDefault="009A3194" w:rsidP="009A3194">
      <w:pPr>
        <w:tabs>
          <w:tab w:val="left" w:pos="3000"/>
        </w:tabs>
        <w:contextualSpacing/>
        <w:jc w:val="center"/>
        <w:rPr>
          <w:lang w:val="uk-UA"/>
        </w:rPr>
      </w:pPr>
      <w:r w:rsidRPr="00981181">
        <w:rPr>
          <w:sz w:val="26"/>
          <w:szCs w:val="20"/>
          <w:lang w:val="uk-UA"/>
        </w:rPr>
        <w:t>(Одеська область, м. Роздільна, вул. Європейська, 37-а)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9A3194" w:rsidRPr="00981181" w:rsidTr="00FE04D5">
        <w:trPr>
          <w:trHeight w:val="429"/>
        </w:trPr>
        <w:tc>
          <w:tcPr>
            <w:tcW w:w="9351" w:type="dxa"/>
            <w:gridSpan w:val="3"/>
            <w:shd w:val="clear" w:color="auto" w:fill="auto"/>
          </w:tcPr>
          <w:p w:rsidR="009A3194" w:rsidRPr="00981181" w:rsidRDefault="009A3194" w:rsidP="00FE04D5">
            <w:pPr>
              <w:jc w:val="center"/>
              <w:rPr>
                <w:lang w:val="uk-UA"/>
              </w:rPr>
            </w:pPr>
            <w:r w:rsidRPr="00981181">
              <w:rPr>
                <w:lang w:val="uk-UA"/>
              </w:rPr>
              <w:t>Загальні умови</w:t>
            </w:r>
          </w:p>
        </w:tc>
      </w:tr>
      <w:tr w:rsidR="009A3194" w:rsidRPr="00981181" w:rsidTr="00FE04D5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9A3194" w:rsidRPr="00981181" w:rsidRDefault="009A3194" w:rsidP="00FE04D5">
            <w:pPr>
              <w:rPr>
                <w:lang w:val="uk-UA"/>
              </w:rPr>
            </w:pPr>
            <w:r w:rsidRPr="00981181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shd w:val="clear" w:color="auto" w:fill="auto"/>
          </w:tcPr>
          <w:p w:rsidR="009A3194" w:rsidRPr="00981181" w:rsidRDefault="009A3194" w:rsidP="009A3194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В межах наданих технічних можливостей організовує впровадження в роботі суду комп’ютерних технологій.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Забезпечує адміністрування автоматизованих робочих місць суддів та</w:t>
            </w:r>
          </w:p>
          <w:p w:rsidR="009A3194" w:rsidRPr="00981181" w:rsidRDefault="009A3194" w:rsidP="00FE04D5">
            <w:pPr>
              <w:pStyle w:val="a3"/>
              <w:ind w:left="317"/>
              <w:rPr>
                <w:lang w:val="uk-UA"/>
              </w:rPr>
            </w:pPr>
            <w:r w:rsidRPr="00981181">
              <w:rPr>
                <w:lang w:val="uk-UA"/>
              </w:rPr>
              <w:t>працівників апарату суду.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Забезпечує введення в експлуатацію, встановлення, програмне обслуговування комп'ютерної   техніки, периферійного   обладнання   та   оргтехніки,  що знаходяться на балансі суду.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Здійснює обслуговування, забезпечує моніторинг введення в експлуатацію та організовує обслуговування комп’ютерної мережі суду, поточне адміністрування мережевого обладнання локальної комп’ютерної мережі суду, поточне адміністрування мережевого обладнання локальної комп’ютерної мережі, адміністрування контролера домену та серверів комп’ютерної мережі.</w:t>
            </w:r>
            <w:r w:rsidRPr="00981181">
              <w:rPr>
                <w:spacing w:val="-8"/>
                <w:lang w:val="uk-UA"/>
              </w:rPr>
              <w:t xml:space="preserve"> 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Забезпечує адміністрування та постійне оновлення інформації на власному веб-сайті суду у складі веб-порталу «Судова влада України».</w:t>
            </w:r>
            <w:r w:rsidRPr="00981181">
              <w:rPr>
                <w:spacing w:val="-8"/>
                <w:lang w:val="uk-UA"/>
              </w:rPr>
              <w:t xml:space="preserve"> 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Здійснює заходи з технічного захисту інформації з обмеженим доступом.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 xml:space="preserve">Забезпечує функціонування автоматизованої системи електронного документообігу в суді. 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Здійснює координацію побудови та впровадження і подальше супроводження комплексної системи захисту інформації інформаційно-телекомунікаційної системи.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lastRenderedPageBreak/>
              <w:t>Організовує роботи із захисту інформації та забезпечувати контроль за станом захищеності WEB-сторінки.</w:t>
            </w:r>
          </w:p>
        </w:tc>
      </w:tr>
      <w:tr w:rsidR="009A3194" w:rsidRPr="009A3194" w:rsidTr="00FE04D5">
        <w:tc>
          <w:tcPr>
            <w:tcW w:w="3823" w:type="dxa"/>
            <w:gridSpan w:val="2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 w:rsidRPr="00F612B0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 w:rsidRPr="00F612B0">
              <w:rPr>
                <w:lang w:val="uk-UA"/>
              </w:rPr>
              <w:t>П</w:t>
            </w:r>
            <w:r>
              <w:rPr>
                <w:lang w:val="uk-UA"/>
              </w:rPr>
              <w:t>осадовий оклад 6250,00</w:t>
            </w:r>
            <w:r w:rsidRPr="00FC6C58"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гривень, </w:t>
            </w:r>
            <w:r w:rsidRPr="009602D8">
              <w:rPr>
                <w:lang w:val="uk-UA"/>
              </w:rPr>
              <w:t>надбавки, виплати, премії відповідно до ст.</w:t>
            </w:r>
            <w:r>
              <w:rPr>
                <w:lang w:val="uk-UA"/>
              </w:rPr>
              <w:t xml:space="preserve"> ст. 50, 52 Закону України</w:t>
            </w:r>
            <w:r w:rsidRPr="009602D8">
              <w:rPr>
                <w:lang w:val="uk-UA"/>
              </w:rPr>
              <w:t xml:space="preserve"> «Про державну службу»</w:t>
            </w:r>
            <w:r>
              <w:rPr>
                <w:lang w:val="uk-UA"/>
              </w:rPr>
              <w:t xml:space="preserve">, </w:t>
            </w:r>
            <w:r w:rsidRPr="00A90F3A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Pr="00A90F3A">
              <w:t> </w:t>
            </w:r>
            <w:hyperlink r:id="rId5" w:anchor="n2" w:tgtFrame="_blank" w:history="1">
              <w:r w:rsidRPr="00A90F3A">
                <w:rPr>
                  <w:rStyle w:val="a4"/>
                  <w:lang w:val="uk-UA"/>
                </w:rPr>
                <w:t>№ 15</w:t>
              </w:r>
            </w:hyperlink>
            <w:r w:rsidRPr="00A90F3A">
              <w:t> </w:t>
            </w:r>
            <w:r w:rsidRPr="00A90F3A">
              <w:rPr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9A3194" w:rsidRPr="00F612B0" w:rsidTr="00FE04D5">
        <w:tc>
          <w:tcPr>
            <w:tcW w:w="3823" w:type="dxa"/>
            <w:gridSpan w:val="2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 w:rsidRPr="00F612B0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shd w:val="clear" w:color="auto" w:fill="auto"/>
          </w:tcPr>
          <w:p w:rsidR="009A3194" w:rsidRDefault="009A3194" w:rsidP="00FE04D5">
            <w:pPr>
              <w:rPr>
                <w:lang w:val="uk-UA"/>
              </w:rPr>
            </w:pPr>
            <w:r w:rsidRPr="00F612B0">
              <w:rPr>
                <w:lang w:val="uk-UA"/>
              </w:rPr>
              <w:t>Безстроково</w:t>
            </w:r>
          </w:p>
          <w:p w:rsidR="009A3194" w:rsidRPr="00B66138" w:rsidRDefault="009A3194" w:rsidP="00FE04D5">
            <w:pPr>
              <w:tabs>
                <w:tab w:val="left" w:pos="106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9A3194" w:rsidRPr="00F612B0" w:rsidTr="00FE04D5">
        <w:trPr>
          <w:trHeight w:val="2400"/>
        </w:trPr>
        <w:tc>
          <w:tcPr>
            <w:tcW w:w="3823" w:type="dxa"/>
            <w:gridSpan w:val="2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 w:rsidRPr="007D5125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shd w:val="clear" w:color="auto" w:fill="auto"/>
          </w:tcPr>
          <w:p w:rsidR="009A3194" w:rsidRPr="00A90F3A" w:rsidRDefault="009A3194" w:rsidP="00FE04D5">
            <w:pPr>
              <w:contextualSpacing/>
              <w:jc w:val="both"/>
              <w:rPr>
                <w:lang w:val="uk-UA"/>
              </w:rPr>
            </w:pPr>
            <w:r w:rsidRPr="00981181">
              <w:rPr>
                <w:lang w:val="uk-UA"/>
              </w:rPr>
              <w:t>1</w:t>
            </w:r>
            <w:r w:rsidRPr="00A90F3A">
              <w:rPr>
                <w:lang w:val="uk-UA"/>
              </w:rPr>
              <w:t xml:space="preserve"> Особа, яка бажає взяти участь у конкурсі, подає конкурсній комісії через Єдиний портал вакансій державної служби:</w:t>
            </w:r>
          </w:p>
          <w:p w:rsidR="009A3194" w:rsidRPr="00A90F3A" w:rsidRDefault="009A3194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1). </w:t>
            </w:r>
            <w:r w:rsidRPr="00A90F3A">
              <w:rPr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A90F3A">
                <w:rPr>
                  <w:color w:val="0563C1"/>
                  <w:u w:val="single"/>
                  <w:lang w:val="uk-UA"/>
                </w:rPr>
                <w:t>додатком 2</w:t>
              </w:r>
            </w:hyperlink>
            <w:r w:rsidRPr="00A90F3A">
              <w:rPr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A90F3A">
              <w:rPr>
                <w:bCs/>
                <w:lang w:val="uk-UA"/>
              </w:rPr>
              <w:t>(зі змінами),</w:t>
            </w:r>
          </w:p>
          <w:p w:rsidR="009A3194" w:rsidRPr="00FC6C58" w:rsidRDefault="009A3194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2). </w:t>
            </w:r>
            <w:r w:rsidRPr="00FC6C58">
              <w:rPr>
                <w:lang w:val="uk-UA"/>
              </w:rPr>
              <w:t>резюме за формою згідно з</w:t>
            </w:r>
            <w:r w:rsidRPr="00A90F3A">
              <w:t> </w:t>
            </w:r>
            <w:hyperlink r:id="rId7" w:anchor="n1039" w:history="1">
              <w:r w:rsidRPr="00FC6C58">
                <w:rPr>
                  <w:color w:val="0563C1"/>
                  <w:u w:val="single"/>
                  <w:lang w:val="uk-UA"/>
                </w:rPr>
                <w:t>додатком 2</w:t>
              </w:r>
            </w:hyperlink>
            <w:hyperlink r:id="rId8" w:anchor="n1039" w:history="1">
              <w:r w:rsidRPr="00FC6C58">
                <w:rPr>
                  <w:b/>
                  <w:bCs/>
                  <w:color w:val="0563C1"/>
                  <w:u w:val="single"/>
                  <w:vertAlign w:val="superscript"/>
                  <w:lang w:val="uk-UA"/>
                </w:rPr>
                <w:t>-1</w:t>
              </w:r>
            </w:hyperlink>
            <w:r w:rsidRPr="00FC6C58">
              <w:rPr>
                <w:lang w:val="uk-UA"/>
              </w:rPr>
              <w:t>, в якому обов’язково зазначається така інформація:</w:t>
            </w:r>
          </w:p>
          <w:p w:rsidR="009A3194" w:rsidRPr="00A90F3A" w:rsidRDefault="009A3194" w:rsidP="009A319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 w:rsidRPr="00A90F3A">
              <w:t>прізвище</w:t>
            </w:r>
            <w:proofErr w:type="spellEnd"/>
            <w:r w:rsidRPr="00A90F3A">
              <w:t xml:space="preserve">, </w:t>
            </w:r>
            <w:proofErr w:type="spellStart"/>
            <w:r w:rsidRPr="00A90F3A">
              <w:t>ім’я</w:t>
            </w:r>
            <w:proofErr w:type="spellEnd"/>
            <w:r w:rsidRPr="00A90F3A">
              <w:t xml:space="preserve">, по </w:t>
            </w:r>
            <w:proofErr w:type="spellStart"/>
            <w:r w:rsidRPr="00A90F3A">
              <w:t>батькові</w:t>
            </w:r>
            <w:proofErr w:type="spellEnd"/>
            <w:r w:rsidRPr="00A90F3A">
              <w:t xml:space="preserve"> кандидата;</w:t>
            </w:r>
          </w:p>
          <w:p w:rsidR="009A3194" w:rsidRPr="00A90F3A" w:rsidRDefault="009A3194" w:rsidP="009A319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 w:rsidRPr="00A90F3A">
              <w:t>реквізити</w:t>
            </w:r>
            <w:proofErr w:type="spellEnd"/>
            <w:r w:rsidRPr="00A90F3A">
              <w:t xml:space="preserve"> документа, </w:t>
            </w:r>
            <w:proofErr w:type="spellStart"/>
            <w:r w:rsidRPr="00A90F3A">
              <w:t>що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посвідчує</w:t>
            </w:r>
            <w:proofErr w:type="spellEnd"/>
            <w:r w:rsidRPr="00A90F3A">
              <w:t xml:space="preserve"> особу та </w:t>
            </w:r>
            <w:proofErr w:type="spellStart"/>
            <w:r w:rsidRPr="00A90F3A">
              <w:t>підтверджує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громадянство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України</w:t>
            </w:r>
            <w:proofErr w:type="spellEnd"/>
            <w:r w:rsidRPr="00A90F3A">
              <w:t>;</w:t>
            </w:r>
          </w:p>
          <w:p w:rsidR="009A3194" w:rsidRPr="00A90F3A" w:rsidRDefault="009A3194" w:rsidP="009A319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 w:rsidRPr="00A90F3A">
              <w:t>підтвердження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наявності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відповідного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ступеня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вищої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освіти</w:t>
            </w:r>
            <w:proofErr w:type="spellEnd"/>
            <w:r w:rsidRPr="00A90F3A">
              <w:t>;</w:t>
            </w:r>
          </w:p>
          <w:p w:rsidR="009A3194" w:rsidRPr="00A90F3A" w:rsidRDefault="009A3194" w:rsidP="009A319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 w:rsidRPr="00A90F3A">
              <w:t>підтвердження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рівня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вільного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володіння</w:t>
            </w:r>
            <w:proofErr w:type="spellEnd"/>
            <w:r w:rsidRPr="00A90F3A">
              <w:t xml:space="preserve"> державною </w:t>
            </w:r>
            <w:proofErr w:type="spellStart"/>
            <w:r w:rsidRPr="00A90F3A">
              <w:t>мовою</w:t>
            </w:r>
            <w:proofErr w:type="spellEnd"/>
            <w:r w:rsidRPr="00A90F3A">
              <w:t>;</w:t>
            </w:r>
          </w:p>
          <w:p w:rsidR="009A3194" w:rsidRPr="00A90F3A" w:rsidRDefault="009A3194" w:rsidP="009A319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 w:rsidRPr="00A90F3A">
              <w:t>відомості</w:t>
            </w:r>
            <w:proofErr w:type="spellEnd"/>
            <w:r w:rsidRPr="00A90F3A">
              <w:t xml:space="preserve"> про стаж </w:t>
            </w:r>
            <w:proofErr w:type="spellStart"/>
            <w:r w:rsidRPr="00A90F3A">
              <w:t>роботи</w:t>
            </w:r>
            <w:proofErr w:type="spellEnd"/>
            <w:r w:rsidRPr="00A90F3A">
              <w:t xml:space="preserve">, стаж </w:t>
            </w:r>
            <w:proofErr w:type="spellStart"/>
            <w:r w:rsidRPr="00A90F3A">
              <w:t>державної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служби</w:t>
            </w:r>
            <w:proofErr w:type="spellEnd"/>
            <w:r w:rsidRPr="00A90F3A">
              <w:t xml:space="preserve"> (за </w:t>
            </w:r>
            <w:proofErr w:type="spellStart"/>
            <w:r w:rsidRPr="00A90F3A">
              <w:t>наявності</w:t>
            </w:r>
            <w:proofErr w:type="spellEnd"/>
            <w:r w:rsidRPr="00A90F3A">
              <w:t xml:space="preserve">), </w:t>
            </w:r>
            <w:proofErr w:type="spellStart"/>
            <w:r w:rsidRPr="00A90F3A">
              <w:t>досвід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роботи</w:t>
            </w:r>
            <w:proofErr w:type="spellEnd"/>
            <w:r w:rsidRPr="00A90F3A">
              <w:t xml:space="preserve"> на </w:t>
            </w:r>
            <w:proofErr w:type="spellStart"/>
            <w:r w:rsidRPr="00A90F3A">
              <w:t>відповідних</w:t>
            </w:r>
            <w:proofErr w:type="spellEnd"/>
            <w:r w:rsidRPr="00A90F3A">
              <w:t xml:space="preserve"> посадах у </w:t>
            </w:r>
            <w:proofErr w:type="spellStart"/>
            <w:r w:rsidRPr="00A90F3A">
              <w:t>відповідній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сфері</w:t>
            </w:r>
            <w:proofErr w:type="spellEnd"/>
            <w:r w:rsidRPr="00A90F3A">
              <w:t xml:space="preserve">, </w:t>
            </w:r>
            <w:proofErr w:type="spellStart"/>
            <w:r w:rsidRPr="00A90F3A">
              <w:t>визначеній</w:t>
            </w:r>
            <w:proofErr w:type="spellEnd"/>
            <w:r w:rsidRPr="00A90F3A">
              <w:t xml:space="preserve"> в </w:t>
            </w:r>
            <w:proofErr w:type="spellStart"/>
            <w:r w:rsidRPr="00A90F3A">
              <w:t>умовах</w:t>
            </w:r>
            <w:proofErr w:type="spellEnd"/>
            <w:r w:rsidRPr="00A90F3A">
              <w:t xml:space="preserve"> конкурсу, та на </w:t>
            </w:r>
            <w:proofErr w:type="spellStart"/>
            <w:r w:rsidRPr="00A90F3A">
              <w:t>керівних</w:t>
            </w:r>
            <w:proofErr w:type="spellEnd"/>
            <w:r w:rsidRPr="00A90F3A">
              <w:t xml:space="preserve"> посадах (за </w:t>
            </w:r>
            <w:proofErr w:type="spellStart"/>
            <w:r w:rsidRPr="00A90F3A">
              <w:t>наявності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відповідних</w:t>
            </w:r>
            <w:proofErr w:type="spellEnd"/>
            <w:r w:rsidRPr="00A90F3A">
              <w:t xml:space="preserve"> </w:t>
            </w:r>
            <w:proofErr w:type="spellStart"/>
            <w:r w:rsidRPr="00A90F3A">
              <w:t>вимог</w:t>
            </w:r>
            <w:proofErr w:type="spellEnd"/>
            <w:r w:rsidRPr="00A90F3A">
              <w:t>);</w:t>
            </w:r>
          </w:p>
          <w:p w:rsidR="009A3194" w:rsidRPr="00AC5B75" w:rsidRDefault="009A3194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3).</w:t>
            </w:r>
            <w:r w:rsidRPr="00A90F3A">
              <w:rPr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</w:t>
            </w:r>
            <w:r w:rsidRPr="00A90F3A">
              <w:rPr>
                <w:lang w:val="uk-UA"/>
              </w:rPr>
              <w:lastRenderedPageBreak/>
              <w:t xml:space="preserve">проходження перевірки та на оприлюднення відомостей стосовно неї відповідно до зазначеного Закону.  </w:t>
            </w:r>
            <w:r w:rsidRPr="00A90F3A">
              <w:t xml:space="preserve">Подача </w:t>
            </w:r>
            <w:proofErr w:type="spellStart"/>
            <w:r w:rsidRPr="00A90F3A">
              <w:t>додатків</w:t>
            </w:r>
            <w:proofErr w:type="spellEnd"/>
            <w:r w:rsidRPr="00A90F3A">
              <w:t xml:space="preserve"> до заяви не є </w:t>
            </w:r>
            <w:proofErr w:type="spellStart"/>
            <w:r w:rsidRPr="00A90F3A">
              <w:t>обов'язковою</w:t>
            </w:r>
            <w:proofErr w:type="spellEnd"/>
            <w:r>
              <w:rPr>
                <w:lang w:val="uk-UA"/>
              </w:rPr>
              <w:t>;</w:t>
            </w:r>
          </w:p>
          <w:p w:rsidR="009A3194" w:rsidRPr="00AC5B75" w:rsidRDefault="009A3194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4). </w:t>
            </w:r>
            <w:proofErr w:type="spellStart"/>
            <w:r w:rsidRPr="00F41C10">
              <w:t>копію</w:t>
            </w:r>
            <w:proofErr w:type="spellEnd"/>
            <w:r w:rsidRPr="00F41C10">
              <w:t xml:space="preserve"> Державного </w:t>
            </w:r>
            <w:proofErr w:type="spellStart"/>
            <w:r w:rsidRPr="00F41C10">
              <w:t>сертифіката</w:t>
            </w:r>
            <w:proofErr w:type="spellEnd"/>
            <w:r w:rsidRPr="00F41C10">
              <w:t xml:space="preserve"> про </w:t>
            </w:r>
            <w:proofErr w:type="spellStart"/>
            <w:r w:rsidRPr="00F41C10">
              <w:t>рівень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володіння</w:t>
            </w:r>
            <w:proofErr w:type="spellEnd"/>
            <w:r w:rsidRPr="00F41C10">
              <w:t xml:space="preserve"> державною </w:t>
            </w:r>
            <w:proofErr w:type="spellStart"/>
            <w:r w:rsidRPr="00F41C10">
              <w:t>мовою</w:t>
            </w:r>
            <w:proofErr w:type="spellEnd"/>
            <w:r w:rsidRPr="00F41C10">
              <w:t xml:space="preserve"> (</w:t>
            </w:r>
            <w:proofErr w:type="spellStart"/>
            <w:r w:rsidRPr="00F41C10">
              <w:t>витяг</w:t>
            </w:r>
            <w:proofErr w:type="spellEnd"/>
            <w:r w:rsidRPr="00F41C10">
              <w:t xml:space="preserve"> з </w:t>
            </w:r>
            <w:proofErr w:type="spellStart"/>
            <w:r w:rsidRPr="00F41C10">
              <w:t>реєстру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Державних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сертифікатів</w:t>
            </w:r>
            <w:proofErr w:type="spellEnd"/>
            <w:r w:rsidRPr="00F41C10">
              <w:t xml:space="preserve"> про </w:t>
            </w:r>
            <w:proofErr w:type="spellStart"/>
            <w:r w:rsidRPr="00F41C10">
              <w:t>рівень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володіння</w:t>
            </w:r>
            <w:proofErr w:type="spellEnd"/>
            <w:r w:rsidRPr="00F41C10">
              <w:t xml:space="preserve"> державною </w:t>
            </w:r>
            <w:proofErr w:type="spellStart"/>
            <w:r w:rsidRPr="00F41C10">
              <w:t>мовою</w:t>
            </w:r>
            <w:proofErr w:type="spellEnd"/>
            <w:r w:rsidRPr="00F41C10">
              <w:t xml:space="preserve">), </w:t>
            </w:r>
            <w:proofErr w:type="spellStart"/>
            <w:r w:rsidRPr="00F41C10">
              <w:t>що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підтверджує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рівень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володіння</w:t>
            </w:r>
            <w:proofErr w:type="spellEnd"/>
            <w:r w:rsidRPr="00F41C10">
              <w:t xml:space="preserve"> державною </w:t>
            </w:r>
            <w:proofErr w:type="spellStart"/>
            <w:r w:rsidRPr="00F41C10">
              <w:t>мовою</w:t>
            </w:r>
            <w:proofErr w:type="spellEnd"/>
            <w:r w:rsidRPr="00F41C10">
              <w:t xml:space="preserve">, </w:t>
            </w:r>
            <w:proofErr w:type="spellStart"/>
            <w:r w:rsidRPr="00F41C10">
              <w:t>визначений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Національною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комісією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зі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стандартів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державної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мови</w:t>
            </w:r>
            <w:proofErr w:type="spellEnd"/>
            <w:r>
              <w:rPr>
                <w:lang w:val="uk-UA"/>
              </w:rPr>
              <w:t>.</w:t>
            </w:r>
          </w:p>
          <w:p w:rsidR="009A3194" w:rsidRPr="00A90F3A" w:rsidRDefault="009A3194" w:rsidP="00FE04D5">
            <w:pPr>
              <w:contextualSpacing/>
              <w:jc w:val="both"/>
              <w:rPr>
                <w:lang w:val="uk-UA"/>
              </w:rPr>
            </w:pPr>
            <w:r w:rsidRPr="00A90F3A">
              <w:rPr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90F3A">
              <w:rPr>
                <w:lang w:val="uk-UA"/>
              </w:rPr>
              <w:t>компетентностей</w:t>
            </w:r>
            <w:proofErr w:type="spellEnd"/>
            <w:r w:rsidRPr="00A90F3A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:rsidR="009A3194" w:rsidRPr="00A90F3A" w:rsidRDefault="009A3194" w:rsidP="00FE04D5">
            <w:pPr>
              <w:contextualSpacing/>
              <w:jc w:val="both"/>
              <w:rPr>
                <w:lang w:val="uk-UA"/>
              </w:rPr>
            </w:pPr>
            <w:r w:rsidRPr="00A90F3A">
              <w:rPr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9A3194" w:rsidRPr="00A90F3A" w:rsidRDefault="009A3194" w:rsidP="00FE04D5">
            <w:pPr>
              <w:contextualSpacing/>
              <w:jc w:val="both"/>
              <w:rPr>
                <w:lang w:val="uk-UA"/>
              </w:rPr>
            </w:pPr>
            <w:r w:rsidRPr="00A90F3A">
              <w:rPr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9A3194" w:rsidRPr="00A90F3A" w:rsidRDefault="009A3194" w:rsidP="00FE04D5">
            <w:pPr>
              <w:contextualSpacing/>
              <w:jc w:val="both"/>
              <w:rPr>
                <w:lang w:val="uk-UA"/>
              </w:rPr>
            </w:pPr>
          </w:p>
          <w:p w:rsidR="009A3194" w:rsidRPr="0021091C" w:rsidRDefault="009A3194" w:rsidP="00FE04D5">
            <w:pPr>
              <w:contextualSpacing/>
              <w:jc w:val="both"/>
              <w:rPr>
                <w:lang w:val="uk-UA"/>
              </w:rPr>
            </w:pPr>
            <w:r w:rsidRPr="0021091C">
              <w:rPr>
                <w:lang w:val="uk-UA"/>
              </w:rPr>
              <w:t xml:space="preserve">Останній день прийому документів – </w:t>
            </w:r>
          </w:p>
          <w:p w:rsidR="009A3194" w:rsidRPr="00981181" w:rsidRDefault="009A3194" w:rsidP="00FE04D5">
            <w:pPr>
              <w:autoSpaceDE w:val="0"/>
              <w:autoSpaceDN w:val="0"/>
              <w:adjustRightInd w:val="0"/>
              <w:rPr>
                <w:rFonts w:eastAsiaTheme="minorHAnsi"/>
                <w:lang w:val="uk-UA"/>
              </w:rPr>
            </w:pPr>
            <w:r>
              <w:rPr>
                <w:lang w:val="uk-UA"/>
              </w:rPr>
              <w:t>28</w:t>
            </w:r>
            <w:r w:rsidRPr="0021091C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</w:t>
            </w:r>
            <w:r w:rsidRPr="0021091C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21091C">
              <w:rPr>
                <w:lang w:val="uk-UA"/>
              </w:rPr>
              <w:t xml:space="preserve"> року до 1</w:t>
            </w:r>
            <w:r>
              <w:rPr>
                <w:lang w:val="uk-UA"/>
              </w:rPr>
              <w:t>6</w:t>
            </w:r>
            <w:r w:rsidRPr="0021091C">
              <w:rPr>
                <w:lang w:val="uk-UA"/>
              </w:rPr>
              <w:t xml:space="preserve"> год. 00 хв.</w:t>
            </w:r>
          </w:p>
        </w:tc>
      </w:tr>
      <w:tr w:rsidR="009A3194" w:rsidRPr="00F612B0" w:rsidTr="00FE04D5">
        <w:trPr>
          <w:trHeight w:val="1319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3194" w:rsidRPr="00FB1F5E" w:rsidRDefault="009A3194" w:rsidP="00FE04D5">
            <w:pPr>
              <w:pStyle w:val="rvps14"/>
              <w:spacing w:before="0" w:beforeAutospacing="0" w:after="300" w:afterAutospacing="0"/>
              <w:rPr>
                <w:color w:val="000000"/>
              </w:rPr>
            </w:pPr>
            <w:r w:rsidRPr="00B81833"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194" w:rsidRPr="00981181" w:rsidRDefault="009A3194" w:rsidP="00FE04D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81181">
              <w:rPr>
                <w:color w:val="000000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A3194" w:rsidRPr="00F612B0" w:rsidTr="00FE04D5">
        <w:tc>
          <w:tcPr>
            <w:tcW w:w="3823" w:type="dxa"/>
            <w:gridSpan w:val="2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shd w:val="clear" w:color="auto" w:fill="auto"/>
          </w:tcPr>
          <w:p w:rsidR="009A3194" w:rsidRDefault="009A3194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04 березня</w:t>
            </w:r>
            <w:r w:rsidRPr="00F21CF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F21CF1">
              <w:rPr>
                <w:lang w:val="uk-UA"/>
              </w:rPr>
              <w:t xml:space="preserve"> року о 1</w:t>
            </w:r>
            <w:r>
              <w:rPr>
                <w:lang w:val="uk-UA"/>
              </w:rPr>
              <w:t>4</w:t>
            </w:r>
            <w:r w:rsidRPr="00F21CF1">
              <w:rPr>
                <w:lang w:val="uk-UA"/>
              </w:rPr>
              <w:t xml:space="preserve"> год. 00 хв.</w:t>
            </w:r>
          </w:p>
          <w:p w:rsidR="009A3194" w:rsidRDefault="009A3194" w:rsidP="00FE04D5">
            <w:pPr>
              <w:contextualSpacing/>
              <w:rPr>
                <w:lang w:val="uk-UA"/>
              </w:rPr>
            </w:pPr>
          </w:p>
          <w:p w:rsidR="009A3194" w:rsidRDefault="009A3194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Одеська область, </w:t>
            </w:r>
            <w:r w:rsidRPr="00F612B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F612B0">
              <w:rPr>
                <w:lang w:val="uk-UA"/>
              </w:rPr>
              <w:t>Роздільна, вул. Європейська, 37-а</w:t>
            </w:r>
            <w:r>
              <w:rPr>
                <w:lang w:val="uk-UA"/>
              </w:rPr>
              <w:t xml:space="preserve"> (проведення тестування та співбесіди </w:t>
            </w:r>
            <w:r w:rsidRPr="00F21CF1">
              <w:rPr>
                <w:lang w:val="uk-UA"/>
              </w:rPr>
              <w:t>за фізичної присутності кандидатів</w:t>
            </w:r>
            <w:r>
              <w:rPr>
                <w:lang w:val="uk-UA"/>
              </w:rPr>
              <w:t>)</w:t>
            </w:r>
          </w:p>
          <w:p w:rsidR="009A3194" w:rsidRPr="00F612B0" w:rsidRDefault="009A3194" w:rsidP="00FE04D5">
            <w:pPr>
              <w:contextualSpacing/>
              <w:rPr>
                <w:lang w:val="uk-UA"/>
              </w:rPr>
            </w:pPr>
          </w:p>
        </w:tc>
      </w:tr>
      <w:tr w:rsidR="009A3194" w:rsidRPr="00F612B0" w:rsidTr="00FE04D5">
        <w:tc>
          <w:tcPr>
            <w:tcW w:w="3823" w:type="dxa"/>
            <w:gridSpan w:val="2"/>
            <w:shd w:val="clear" w:color="auto" w:fill="auto"/>
          </w:tcPr>
          <w:p w:rsidR="009A3194" w:rsidRPr="00F71394" w:rsidRDefault="009A3194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shd w:val="clear" w:color="auto" w:fill="auto"/>
          </w:tcPr>
          <w:p w:rsidR="009A3194" w:rsidRDefault="009A3194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Одеська область, </w:t>
            </w:r>
            <w:r w:rsidRPr="00F612B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F612B0">
              <w:rPr>
                <w:lang w:val="uk-UA"/>
              </w:rPr>
              <w:t>Роздільна, вул. Європейська, 37-а</w:t>
            </w:r>
            <w:r>
              <w:rPr>
                <w:lang w:val="uk-UA"/>
              </w:rPr>
              <w:t xml:space="preserve"> (проведення співбесіди за фізичної присутності кандидата)</w:t>
            </w:r>
          </w:p>
          <w:p w:rsidR="009A3194" w:rsidRDefault="009A3194" w:rsidP="00FE04D5">
            <w:pPr>
              <w:contextualSpacing/>
              <w:rPr>
                <w:lang w:val="uk-UA"/>
              </w:rPr>
            </w:pPr>
          </w:p>
        </w:tc>
      </w:tr>
      <w:tr w:rsidR="009A3194" w:rsidRPr="00FC6C58" w:rsidTr="00FE04D5">
        <w:tc>
          <w:tcPr>
            <w:tcW w:w="3823" w:type="dxa"/>
            <w:gridSpan w:val="2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 w:rsidRPr="00F612B0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shd w:val="clear" w:color="auto" w:fill="auto"/>
          </w:tcPr>
          <w:p w:rsidR="009A3194" w:rsidRPr="00F612B0" w:rsidRDefault="009A3194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Панчошенко Марія Петрівна</w:t>
            </w:r>
          </w:p>
          <w:p w:rsidR="009A3194" w:rsidRPr="00FC6C58" w:rsidRDefault="009A3194" w:rsidP="00FE04D5">
            <w:pPr>
              <w:contextualSpacing/>
              <w:rPr>
                <w:lang w:val="uk-UA"/>
              </w:rPr>
            </w:pPr>
            <w:proofErr w:type="spellStart"/>
            <w:r w:rsidRPr="00F612B0">
              <w:rPr>
                <w:lang w:val="uk-UA"/>
              </w:rPr>
              <w:t>тел</w:t>
            </w:r>
            <w:proofErr w:type="spellEnd"/>
            <w:r w:rsidRPr="00F612B0">
              <w:rPr>
                <w:lang w:val="uk-UA"/>
              </w:rPr>
              <w:t xml:space="preserve">. </w:t>
            </w:r>
            <w:r w:rsidRPr="00F90A16">
              <w:rPr>
                <w:lang w:val="uk-UA"/>
              </w:rPr>
              <w:t xml:space="preserve"> </w:t>
            </w:r>
            <w:r w:rsidRPr="00F90A16">
              <w:t>+3806332</w:t>
            </w:r>
            <w:r>
              <w:rPr>
                <w:lang w:val="uk-UA"/>
              </w:rPr>
              <w:t>33048</w:t>
            </w:r>
          </w:p>
          <w:p w:rsidR="009A3194" w:rsidRPr="00860501" w:rsidRDefault="009A3194" w:rsidP="00FE04D5">
            <w:pPr>
              <w:contextualSpacing/>
            </w:pPr>
            <w:r w:rsidRPr="00F90A16">
              <w:t>е</w:t>
            </w:r>
            <w:r w:rsidRPr="00860501">
              <w:t>-</w:t>
            </w:r>
            <w:r w:rsidRPr="00F90A16">
              <w:rPr>
                <w:lang w:val="en-US"/>
              </w:rPr>
              <w:t>mail</w:t>
            </w:r>
            <w:r w:rsidRPr="00860501">
              <w:t xml:space="preserve">: </w:t>
            </w:r>
            <w:r w:rsidRPr="00F90A16">
              <w:rPr>
                <w:lang w:val="en-US"/>
              </w:rPr>
              <w:t>inbox</w:t>
            </w:r>
            <w:r w:rsidRPr="00860501">
              <w:t>@</w:t>
            </w:r>
            <w:proofErr w:type="spellStart"/>
            <w:r w:rsidRPr="00F90A16">
              <w:rPr>
                <w:lang w:val="en-US"/>
              </w:rPr>
              <w:t>rz</w:t>
            </w:r>
            <w:proofErr w:type="spellEnd"/>
            <w:r w:rsidRPr="00860501">
              <w:t>.</w:t>
            </w:r>
            <w:r w:rsidRPr="00F90A16">
              <w:rPr>
                <w:lang w:val="en-US"/>
              </w:rPr>
              <w:t>od</w:t>
            </w:r>
            <w:r w:rsidRPr="00860501">
              <w:t>.</w:t>
            </w:r>
            <w:r w:rsidRPr="00F90A16">
              <w:rPr>
                <w:lang w:val="en-US"/>
              </w:rPr>
              <w:t>court</w:t>
            </w:r>
            <w:r w:rsidRPr="00860501">
              <w:t>.</w:t>
            </w:r>
            <w:proofErr w:type="spellStart"/>
            <w:r w:rsidRPr="00F90A16">
              <w:rPr>
                <w:lang w:val="en-US"/>
              </w:rPr>
              <w:t>gov</w:t>
            </w:r>
            <w:proofErr w:type="spellEnd"/>
            <w:r w:rsidRPr="00860501">
              <w:t>.</w:t>
            </w:r>
            <w:proofErr w:type="spellStart"/>
            <w:r w:rsidRPr="00F90A16">
              <w:rPr>
                <w:lang w:val="en-US"/>
              </w:rPr>
              <w:t>ua</w:t>
            </w:r>
            <w:proofErr w:type="spellEnd"/>
          </w:p>
          <w:p w:rsidR="009A3194" w:rsidRPr="00860501" w:rsidRDefault="009A3194" w:rsidP="00FE04D5"/>
        </w:tc>
      </w:tr>
      <w:tr w:rsidR="009A3194" w:rsidRPr="00F612B0" w:rsidTr="00FE04D5">
        <w:trPr>
          <w:trHeight w:val="253"/>
        </w:trPr>
        <w:tc>
          <w:tcPr>
            <w:tcW w:w="9351" w:type="dxa"/>
            <w:gridSpan w:val="3"/>
            <w:shd w:val="clear" w:color="auto" w:fill="auto"/>
          </w:tcPr>
          <w:p w:rsidR="009A3194" w:rsidRPr="00795539" w:rsidRDefault="009A3194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Кваліфікаційні вимоги</w:t>
            </w:r>
          </w:p>
        </w:tc>
      </w:tr>
      <w:tr w:rsidR="009A3194" w:rsidRPr="00F612B0" w:rsidTr="00FE04D5">
        <w:trPr>
          <w:trHeight w:val="968"/>
        </w:trPr>
        <w:tc>
          <w:tcPr>
            <w:tcW w:w="562" w:type="dxa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 w:rsidRPr="00F612B0">
              <w:rPr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A3194" w:rsidRPr="00981181" w:rsidRDefault="009A3194" w:rsidP="00FE04D5">
            <w:pPr>
              <w:rPr>
                <w:lang w:val="uk-UA"/>
              </w:rPr>
            </w:pPr>
            <w:r w:rsidRPr="00981181">
              <w:rPr>
                <w:lang w:val="uk-UA"/>
              </w:rPr>
              <w:t>Освіта</w:t>
            </w:r>
          </w:p>
        </w:tc>
        <w:tc>
          <w:tcPr>
            <w:tcW w:w="5528" w:type="dxa"/>
            <w:shd w:val="clear" w:color="auto" w:fill="auto"/>
          </w:tcPr>
          <w:p w:rsidR="009A3194" w:rsidRPr="00981181" w:rsidRDefault="009A3194" w:rsidP="00FE04D5">
            <w:pPr>
              <w:rPr>
                <w:lang w:val="uk-UA"/>
              </w:rPr>
            </w:pPr>
            <w:r w:rsidRPr="00981181">
              <w:rPr>
                <w:lang w:val="uk-UA"/>
              </w:rPr>
              <w:t>Вища, за ступенем  не нижче молодшого бакалавра або бакалавра (напрямку у сфері інформаційних технологій)</w:t>
            </w:r>
          </w:p>
        </w:tc>
      </w:tr>
      <w:tr w:rsidR="009A3194" w:rsidRPr="00F612B0" w:rsidTr="00FE04D5">
        <w:tc>
          <w:tcPr>
            <w:tcW w:w="562" w:type="dxa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 w:rsidRPr="00F612B0">
              <w:rPr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A3194" w:rsidRPr="00981181" w:rsidRDefault="009A3194" w:rsidP="00FE04D5">
            <w:pPr>
              <w:rPr>
                <w:lang w:val="uk-UA"/>
              </w:rPr>
            </w:pPr>
            <w:r w:rsidRPr="00981181">
              <w:rPr>
                <w:lang w:val="uk-UA"/>
              </w:rPr>
              <w:t>Досвід роботи</w:t>
            </w:r>
          </w:p>
        </w:tc>
        <w:tc>
          <w:tcPr>
            <w:tcW w:w="5528" w:type="dxa"/>
            <w:shd w:val="clear" w:color="auto" w:fill="auto"/>
          </w:tcPr>
          <w:p w:rsidR="009A3194" w:rsidRPr="00981181" w:rsidRDefault="009A3194" w:rsidP="00FE04D5">
            <w:pPr>
              <w:rPr>
                <w:lang w:val="uk-UA"/>
              </w:rPr>
            </w:pPr>
            <w:r w:rsidRPr="00981181">
              <w:rPr>
                <w:color w:val="000000"/>
                <w:lang w:val="uk-UA"/>
              </w:rPr>
              <w:t>Без вимог до досвіду роботи</w:t>
            </w:r>
          </w:p>
        </w:tc>
      </w:tr>
      <w:tr w:rsidR="009A3194" w:rsidRPr="00F612B0" w:rsidTr="00FE04D5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3194" w:rsidRPr="00F612B0" w:rsidRDefault="009A3194" w:rsidP="00FE04D5">
            <w:r w:rsidRPr="00F612B0"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3194" w:rsidRPr="00981181" w:rsidRDefault="009A3194" w:rsidP="00FE04D5">
            <w:pPr>
              <w:rPr>
                <w:lang w:val="uk-UA"/>
              </w:rPr>
            </w:pPr>
            <w:r w:rsidRPr="00981181">
              <w:rPr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3194" w:rsidRPr="00981181" w:rsidRDefault="009A3194" w:rsidP="00FE04D5">
            <w:pPr>
              <w:rPr>
                <w:lang w:val="uk-UA"/>
              </w:rPr>
            </w:pPr>
            <w:r w:rsidRPr="00981181">
              <w:rPr>
                <w:lang w:val="uk-UA"/>
              </w:rPr>
              <w:t>Вільне володіння державною мовою</w:t>
            </w:r>
          </w:p>
        </w:tc>
      </w:tr>
      <w:tr w:rsidR="009A3194" w:rsidRPr="00F612B0" w:rsidTr="00FE04D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194" w:rsidRPr="00FB1F5E" w:rsidRDefault="009A3194" w:rsidP="00FE04D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194" w:rsidRPr="00981181" w:rsidRDefault="009A3194" w:rsidP="00FE04D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 w:rsidRPr="00981181">
              <w:rPr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3194" w:rsidRPr="00981181" w:rsidRDefault="009A3194" w:rsidP="00FE04D5">
            <w:pPr>
              <w:pStyle w:val="rvps12"/>
              <w:spacing w:before="0" w:beforeAutospacing="0" w:after="300" w:afterAutospacing="0"/>
              <w:rPr>
                <w:rStyle w:val="rvts0"/>
                <w:color w:val="000000"/>
                <w:lang w:val="uk-UA"/>
              </w:rPr>
            </w:pPr>
            <w:r w:rsidRPr="00981181">
              <w:rPr>
                <w:lang w:val="uk-UA"/>
              </w:rPr>
              <w:t>Не потребує</w:t>
            </w:r>
          </w:p>
        </w:tc>
      </w:tr>
      <w:tr w:rsidR="009A3194" w:rsidRPr="00F612B0" w:rsidTr="00FE04D5">
        <w:tc>
          <w:tcPr>
            <w:tcW w:w="9351" w:type="dxa"/>
            <w:gridSpan w:val="3"/>
            <w:shd w:val="clear" w:color="auto" w:fill="auto"/>
          </w:tcPr>
          <w:p w:rsidR="009A3194" w:rsidRPr="00981181" w:rsidRDefault="009A3194" w:rsidP="00FE04D5">
            <w:pPr>
              <w:jc w:val="center"/>
              <w:rPr>
                <w:b/>
                <w:lang w:val="uk-UA"/>
              </w:rPr>
            </w:pPr>
            <w:r w:rsidRPr="00981181">
              <w:rPr>
                <w:b/>
                <w:lang w:val="uk-UA" w:eastAsia="uk-UA"/>
              </w:rPr>
              <w:t>Вимоги до компетентності</w:t>
            </w:r>
          </w:p>
        </w:tc>
      </w:tr>
      <w:tr w:rsidR="009A3194" w:rsidRPr="00F612B0" w:rsidTr="00FE04D5">
        <w:tc>
          <w:tcPr>
            <w:tcW w:w="3823" w:type="dxa"/>
            <w:gridSpan w:val="2"/>
            <w:shd w:val="clear" w:color="auto" w:fill="auto"/>
          </w:tcPr>
          <w:p w:rsidR="009A3194" w:rsidRPr="00981181" w:rsidRDefault="009A3194" w:rsidP="00FE04D5">
            <w:pPr>
              <w:jc w:val="center"/>
              <w:rPr>
                <w:b/>
                <w:lang w:val="uk-UA" w:eastAsia="uk-UA"/>
              </w:rPr>
            </w:pPr>
            <w:r w:rsidRPr="00981181">
              <w:rPr>
                <w:b/>
                <w:lang w:val="uk-UA" w:eastAsia="uk-UA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:rsidR="009A3194" w:rsidRPr="00981181" w:rsidRDefault="009A3194" w:rsidP="00FE04D5">
            <w:pPr>
              <w:jc w:val="center"/>
              <w:rPr>
                <w:b/>
                <w:lang w:val="uk-UA" w:eastAsia="uk-UA"/>
              </w:rPr>
            </w:pPr>
            <w:r w:rsidRPr="00981181">
              <w:rPr>
                <w:b/>
                <w:lang w:val="uk-UA" w:eastAsia="uk-UA"/>
              </w:rPr>
              <w:t>Компоненти вимоги</w:t>
            </w:r>
          </w:p>
        </w:tc>
      </w:tr>
      <w:tr w:rsidR="009A3194" w:rsidRPr="00F612B0" w:rsidTr="00FE04D5">
        <w:tc>
          <w:tcPr>
            <w:tcW w:w="562" w:type="dxa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A3194" w:rsidRPr="00981181" w:rsidRDefault="009A3194" w:rsidP="00FE04D5">
            <w:pPr>
              <w:contextualSpacing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Командна робота та взаємодія</w:t>
            </w:r>
          </w:p>
        </w:tc>
        <w:tc>
          <w:tcPr>
            <w:tcW w:w="5528" w:type="dxa"/>
            <w:shd w:val="clear" w:color="auto" w:fill="auto"/>
          </w:tcPr>
          <w:p w:rsidR="009A3194" w:rsidRPr="00981181" w:rsidRDefault="009A3194" w:rsidP="009A3194">
            <w:pPr>
              <w:pStyle w:val="a3"/>
              <w:numPr>
                <w:ilvl w:val="0"/>
                <w:numId w:val="5"/>
              </w:numPr>
              <w:ind w:left="459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981181">
              <w:rPr>
                <w:lang w:val="uk-UA" w:eastAsia="uk-UA"/>
              </w:rPr>
              <w:t>ндивідуальна та командна робота у колективі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5"/>
              </w:numPr>
              <w:ind w:left="459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вміння працювати з інформацією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5"/>
              </w:numPr>
              <w:ind w:left="459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вміння вирішувати комплексні завдання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5"/>
              </w:numPr>
              <w:ind w:left="459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9A3194" w:rsidRPr="00981181" w:rsidRDefault="009A3194" w:rsidP="009A3194">
            <w:pPr>
              <w:pStyle w:val="a3"/>
              <w:numPr>
                <w:ilvl w:val="0"/>
                <w:numId w:val="5"/>
              </w:numPr>
              <w:ind w:left="459"/>
              <w:rPr>
                <w:b/>
                <w:lang w:val="uk-UA" w:eastAsia="uk-UA"/>
              </w:rPr>
            </w:pPr>
            <w:r w:rsidRPr="00981181">
              <w:rPr>
                <w:lang w:val="uk-UA" w:eastAsia="uk-UA"/>
              </w:rPr>
              <w:t>уміння швидко приймати рішення</w:t>
            </w:r>
          </w:p>
        </w:tc>
      </w:tr>
      <w:tr w:rsidR="009A3194" w:rsidRPr="00981181" w:rsidTr="00FE04D5">
        <w:tc>
          <w:tcPr>
            <w:tcW w:w="562" w:type="dxa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>
              <w:rPr>
                <w:lang w:val="uk-UA"/>
              </w:rPr>
              <w:t>Цифрова грамотність</w:t>
            </w:r>
          </w:p>
        </w:tc>
        <w:tc>
          <w:tcPr>
            <w:tcW w:w="5528" w:type="dxa"/>
            <w:shd w:val="clear" w:color="auto" w:fill="auto"/>
          </w:tcPr>
          <w:p w:rsidR="009A3194" w:rsidRDefault="009A3194" w:rsidP="009A3194">
            <w:pPr>
              <w:pStyle w:val="a3"/>
              <w:numPr>
                <w:ilvl w:val="0"/>
                <w:numId w:val="6"/>
              </w:numPr>
              <w:spacing w:after="160"/>
              <w:ind w:left="459"/>
              <w:rPr>
                <w:lang w:val="uk-UA"/>
              </w:rPr>
            </w:pPr>
            <w:r w:rsidRPr="00F21CF1">
              <w:rPr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</w:t>
            </w:r>
            <w:r>
              <w:rPr>
                <w:lang w:val="uk-UA"/>
              </w:rPr>
              <w:t>ання своїх посадових обов'язків</w:t>
            </w:r>
          </w:p>
          <w:p w:rsidR="009A3194" w:rsidRDefault="009A3194" w:rsidP="009A3194">
            <w:pPr>
              <w:pStyle w:val="a3"/>
              <w:numPr>
                <w:ilvl w:val="0"/>
                <w:numId w:val="6"/>
              </w:numPr>
              <w:spacing w:after="160"/>
              <w:ind w:left="459"/>
              <w:rPr>
                <w:lang w:val="uk-UA"/>
              </w:rPr>
            </w:pPr>
            <w:r w:rsidRPr="00981181">
              <w:rPr>
                <w:lang w:val="uk-UA"/>
              </w:rPr>
              <w:t>вміння використовувати сервіси інтернету для ефективн</w:t>
            </w:r>
            <w:r>
              <w:rPr>
                <w:lang w:val="uk-UA"/>
              </w:rPr>
              <w:t>ого пошуку потрібної інформації</w:t>
            </w:r>
          </w:p>
          <w:p w:rsidR="009A3194" w:rsidRDefault="009A3194" w:rsidP="009A3194">
            <w:pPr>
              <w:pStyle w:val="a3"/>
              <w:numPr>
                <w:ilvl w:val="0"/>
                <w:numId w:val="6"/>
              </w:numPr>
              <w:spacing w:after="160"/>
              <w:ind w:left="459"/>
              <w:rPr>
                <w:lang w:val="uk-UA"/>
              </w:rPr>
            </w:pPr>
            <w:r w:rsidRPr="00981181">
              <w:rPr>
                <w:lang w:val="uk-UA"/>
              </w:rPr>
              <w:t>вміння перевіряти надійність джерел і достовірність даних та ін</w:t>
            </w:r>
            <w:r>
              <w:rPr>
                <w:lang w:val="uk-UA"/>
              </w:rPr>
              <w:t>формації у цифровому середовищі</w:t>
            </w:r>
          </w:p>
          <w:p w:rsidR="009A3194" w:rsidRDefault="009A3194" w:rsidP="009A3194">
            <w:pPr>
              <w:pStyle w:val="a3"/>
              <w:numPr>
                <w:ilvl w:val="0"/>
                <w:numId w:val="6"/>
              </w:numPr>
              <w:spacing w:after="160"/>
              <w:ind w:left="459"/>
              <w:rPr>
                <w:lang w:val="uk-UA"/>
              </w:rPr>
            </w:pPr>
            <w:r w:rsidRPr="00981181">
              <w:rPr>
                <w:lang w:val="uk-UA"/>
              </w:rPr>
              <w:t>здатність працювати з докумен</w:t>
            </w:r>
            <w:r>
              <w:rPr>
                <w:lang w:val="uk-UA"/>
              </w:rPr>
              <w:t>тами в різних цифрових форматах</w:t>
            </w:r>
          </w:p>
          <w:p w:rsidR="009A3194" w:rsidRDefault="009A3194" w:rsidP="009A3194">
            <w:pPr>
              <w:pStyle w:val="a3"/>
              <w:numPr>
                <w:ilvl w:val="0"/>
                <w:numId w:val="6"/>
              </w:numPr>
              <w:spacing w:after="160"/>
              <w:ind w:left="459"/>
              <w:rPr>
                <w:lang w:val="uk-UA"/>
              </w:rPr>
            </w:pPr>
            <w:r w:rsidRPr="00981181">
              <w:rPr>
                <w:lang w:val="uk-UA"/>
              </w:rPr>
              <w:t>зберігати, накопичувати, впорядковувати, архівувати цифрові ресурси та дані різних типів</w:t>
            </w:r>
          </w:p>
          <w:p w:rsidR="009A3194" w:rsidRDefault="009A3194" w:rsidP="009A3194">
            <w:pPr>
              <w:pStyle w:val="a3"/>
              <w:numPr>
                <w:ilvl w:val="0"/>
                <w:numId w:val="6"/>
              </w:numPr>
              <w:spacing w:after="160"/>
              <w:ind w:left="459"/>
              <w:rPr>
                <w:lang w:val="uk-UA"/>
              </w:rPr>
            </w:pPr>
            <w:r w:rsidRPr="00981181">
              <w:rPr>
                <w:lang w:val="uk-UA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</w:t>
            </w:r>
            <w:r>
              <w:rPr>
                <w:lang w:val="uk-UA"/>
              </w:rPr>
              <w:t>аним електронним підписом (КЕП)</w:t>
            </w:r>
          </w:p>
          <w:p w:rsidR="009A3194" w:rsidRDefault="009A3194" w:rsidP="009A3194">
            <w:pPr>
              <w:pStyle w:val="a3"/>
              <w:numPr>
                <w:ilvl w:val="0"/>
                <w:numId w:val="6"/>
              </w:numPr>
              <w:spacing w:after="160"/>
              <w:ind w:left="459"/>
              <w:rPr>
                <w:lang w:val="uk-UA"/>
              </w:rPr>
            </w:pPr>
            <w:r w:rsidRPr="00981181">
              <w:rPr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:rsidR="009A3194" w:rsidRPr="00F21CF1" w:rsidRDefault="009A3194" w:rsidP="009A3194">
            <w:pPr>
              <w:pStyle w:val="a3"/>
              <w:numPr>
                <w:ilvl w:val="0"/>
                <w:numId w:val="6"/>
              </w:numPr>
              <w:spacing w:after="160"/>
              <w:ind w:left="459"/>
              <w:rPr>
                <w:lang w:val="uk-UA"/>
              </w:rPr>
            </w:pPr>
            <w:r w:rsidRPr="00981181">
              <w:rPr>
                <w:lang w:val="uk-UA"/>
              </w:rPr>
              <w:t xml:space="preserve">здатність уникати небезпек в цифровому середовищі, захищати </w:t>
            </w:r>
            <w:r>
              <w:rPr>
                <w:lang w:val="uk-UA"/>
              </w:rPr>
              <w:t>особисті та конфіденційні дані</w:t>
            </w:r>
          </w:p>
        </w:tc>
      </w:tr>
      <w:tr w:rsidR="009A3194" w:rsidRPr="00F612B0" w:rsidTr="00FE04D5">
        <w:trPr>
          <w:trHeight w:val="3627"/>
        </w:trPr>
        <w:tc>
          <w:tcPr>
            <w:tcW w:w="562" w:type="dxa"/>
            <w:shd w:val="clear" w:color="auto" w:fill="auto"/>
          </w:tcPr>
          <w:p w:rsidR="009A3194" w:rsidRPr="00F612B0" w:rsidRDefault="009A3194" w:rsidP="00FE04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261" w:type="dxa"/>
          </w:tcPr>
          <w:p w:rsidR="009A3194" w:rsidRDefault="009A3194" w:rsidP="00FE04D5">
            <w:pPr>
              <w:pStyle w:val="rvps14"/>
            </w:pPr>
            <w:r>
              <w:t>Особистісні якості</w:t>
            </w:r>
          </w:p>
        </w:tc>
        <w:tc>
          <w:tcPr>
            <w:tcW w:w="5528" w:type="dxa"/>
          </w:tcPr>
          <w:p w:rsidR="009A3194" w:rsidRDefault="009A3194" w:rsidP="009A3194">
            <w:pPr>
              <w:pStyle w:val="rvps14"/>
              <w:numPr>
                <w:ilvl w:val="0"/>
                <w:numId w:val="1"/>
              </w:numPr>
              <w:ind w:left="317" w:hanging="283"/>
            </w:pPr>
            <w:r>
              <w:t>уміння приймати вчасні та обґрунтовані рішення</w:t>
            </w:r>
          </w:p>
          <w:p w:rsidR="009A3194" w:rsidRDefault="009A3194" w:rsidP="009A3194">
            <w:pPr>
              <w:pStyle w:val="rvps14"/>
              <w:numPr>
                <w:ilvl w:val="0"/>
                <w:numId w:val="1"/>
              </w:numPr>
              <w:ind w:left="317" w:hanging="283"/>
            </w:pPr>
            <w:r>
              <w:t>стратегічне мислення</w:t>
            </w:r>
          </w:p>
          <w:p w:rsidR="009A3194" w:rsidRDefault="009A3194" w:rsidP="009A3194">
            <w:pPr>
              <w:pStyle w:val="rvps14"/>
              <w:numPr>
                <w:ilvl w:val="0"/>
                <w:numId w:val="1"/>
              </w:numPr>
              <w:ind w:left="317" w:hanging="283"/>
            </w:pPr>
            <w:r>
              <w:t>уміння працювати у стресовій ситуації</w:t>
            </w:r>
          </w:p>
          <w:p w:rsidR="009A3194" w:rsidRDefault="009A3194" w:rsidP="009A3194">
            <w:pPr>
              <w:pStyle w:val="rvps14"/>
              <w:numPr>
                <w:ilvl w:val="0"/>
                <w:numId w:val="1"/>
              </w:numPr>
              <w:ind w:left="317" w:hanging="283"/>
            </w:pPr>
            <w:r>
              <w:t>орієнтація на досягнення результату</w:t>
            </w:r>
          </w:p>
          <w:p w:rsidR="009A3194" w:rsidRDefault="009A3194" w:rsidP="009A3194">
            <w:pPr>
              <w:pStyle w:val="rvps14"/>
              <w:numPr>
                <w:ilvl w:val="0"/>
                <w:numId w:val="1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9A3194" w:rsidRDefault="009A3194" w:rsidP="009A3194">
            <w:pPr>
              <w:pStyle w:val="rvps14"/>
              <w:numPr>
                <w:ilvl w:val="0"/>
                <w:numId w:val="1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9A3194" w:rsidRDefault="009A3194" w:rsidP="009A3194">
            <w:pPr>
              <w:pStyle w:val="rvps14"/>
              <w:numPr>
                <w:ilvl w:val="0"/>
                <w:numId w:val="1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9A3194" w:rsidRDefault="009A3194" w:rsidP="009A3194">
            <w:pPr>
              <w:pStyle w:val="rvps14"/>
              <w:numPr>
                <w:ilvl w:val="0"/>
                <w:numId w:val="1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</w:tc>
      </w:tr>
      <w:tr w:rsidR="009A3194" w:rsidRPr="00F612B0" w:rsidTr="00FE04D5">
        <w:trPr>
          <w:trHeight w:val="263"/>
        </w:trPr>
        <w:tc>
          <w:tcPr>
            <w:tcW w:w="9351" w:type="dxa"/>
            <w:gridSpan w:val="3"/>
            <w:shd w:val="clear" w:color="auto" w:fill="auto"/>
          </w:tcPr>
          <w:p w:rsidR="009A3194" w:rsidRPr="00767583" w:rsidRDefault="009A3194" w:rsidP="00FE04D5">
            <w:pPr>
              <w:jc w:val="center"/>
              <w:rPr>
                <w:b/>
                <w:lang w:val="uk-UA"/>
              </w:rPr>
            </w:pPr>
            <w:r w:rsidRPr="00767583">
              <w:rPr>
                <w:b/>
                <w:lang w:val="uk-UA"/>
              </w:rPr>
              <w:t>Професійні знання</w:t>
            </w:r>
          </w:p>
        </w:tc>
      </w:tr>
      <w:tr w:rsidR="009A3194" w:rsidRPr="00F612B0" w:rsidTr="00FE04D5">
        <w:tc>
          <w:tcPr>
            <w:tcW w:w="3823" w:type="dxa"/>
            <w:gridSpan w:val="2"/>
            <w:shd w:val="clear" w:color="auto" w:fill="auto"/>
          </w:tcPr>
          <w:p w:rsidR="009A3194" w:rsidRPr="00767583" w:rsidRDefault="009A3194" w:rsidP="00FE04D5">
            <w:pPr>
              <w:contextualSpacing/>
              <w:jc w:val="center"/>
              <w:rPr>
                <w:b/>
                <w:lang w:val="uk-UA" w:eastAsia="uk-UA"/>
              </w:rPr>
            </w:pPr>
            <w:r w:rsidRPr="00767583">
              <w:rPr>
                <w:b/>
                <w:lang w:val="uk-UA" w:eastAsia="uk-UA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:rsidR="009A3194" w:rsidRPr="00767583" w:rsidRDefault="009A3194" w:rsidP="00FE04D5">
            <w:pPr>
              <w:autoSpaceDE w:val="0"/>
              <w:autoSpaceDN w:val="0"/>
              <w:ind w:left="317" w:right="147"/>
              <w:contextualSpacing/>
              <w:jc w:val="center"/>
              <w:rPr>
                <w:b/>
                <w:lang w:eastAsia="uk-UA"/>
              </w:rPr>
            </w:pPr>
            <w:r w:rsidRPr="00767583">
              <w:rPr>
                <w:b/>
                <w:lang w:val="uk-UA" w:eastAsia="uk-UA"/>
              </w:rPr>
              <w:t>Компоненти вимоги</w:t>
            </w:r>
          </w:p>
        </w:tc>
      </w:tr>
      <w:tr w:rsidR="009A3194" w:rsidRPr="00F612B0" w:rsidTr="00FE04D5">
        <w:tc>
          <w:tcPr>
            <w:tcW w:w="562" w:type="dxa"/>
            <w:shd w:val="clear" w:color="auto" w:fill="auto"/>
          </w:tcPr>
          <w:p w:rsidR="009A3194" w:rsidRPr="00F21CF1" w:rsidRDefault="009A3194" w:rsidP="00FE04D5">
            <w:r w:rsidRPr="00F21CF1">
              <w:t>1</w:t>
            </w:r>
          </w:p>
        </w:tc>
        <w:tc>
          <w:tcPr>
            <w:tcW w:w="3261" w:type="dxa"/>
            <w:shd w:val="clear" w:color="auto" w:fill="auto"/>
          </w:tcPr>
          <w:p w:rsidR="009A3194" w:rsidRPr="00981181" w:rsidRDefault="009A3194" w:rsidP="00FE04D5">
            <w:pPr>
              <w:contextualSpacing/>
              <w:jc w:val="both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Знання законодавства</w:t>
            </w:r>
          </w:p>
          <w:p w:rsidR="009A3194" w:rsidRPr="00981181" w:rsidRDefault="009A3194" w:rsidP="00FE04D5">
            <w:pPr>
              <w:jc w:val="both"/>
              <w:rPr>
                <w:lang w:val="uk-UA"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9A3194" w:rsidRPr="00981181" w:rsidRDefault="009A3194" w:rsidP="009A3194">
            <w:pPr>
              <w:numPr>
                <w:ilvl w:val="0"/>
                <w:numId w:val="2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Конституція України</w:t>
            </w:r>
          </w:p>
          <w:p w:rsidR="009A3194" w:rsidRPr="00981181" w:rsidRDefault="009A3194" w:rsidP="009A3194">
            <w:pPr>
              <w:numPr>
                <w:ilvl w:val="0"/>
                <w:numId w:val="2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Закон України «Про державну службу»</w:t>
            </w:r>
          </w:p>
          <w:p w:rsidR="009A3194" w:rsidRPr="00981181" w:rsidRDefault="009A3194" w:rsidP="009A3194">
            <w:pPr>
              <w:numPr>
                <w:ilvl w:val="0"/>
                <w:numId w:val="2"/>
              </w:numPr>
              <w:autoSpaceDE w:val="0"/>
              <w:autoSpaceDN w:val="0"/>
              <w:ind w:left="317" w:right="147" w:hanging="284"/>
              <w:contextualSpacing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Закон України «Про запобігання корупції» та іншого законодавства</w:t>
            </w:r>
          </w:p>
        </w:tc>
      </w:tr>
      <w:tr w:rsidR="009A3194" w:rsidRPr="00F612B0" w:rsidTr="00FE04D5">
        <w:trPr>
          <w:trHeight w:val="923"/>
        </w:trPr>
        <w:tc>
          <w:tcPr>
            <w:tcW w:w="562" w:type="dxa"/>
            <w:shd w:val="clear" w:color="auto" w:fill="auto"/>
          </w:tcPr>
          <w:p w:rsidR="009A3194" w:rsidRPr="00F21CF1" w:rsidRDefault="009A3194" w:rsidP="00FE04D5">
            <w:pPr>
              <w:rPr>
                <w:lang w:val="uk-UA"/>
              </w:rPr>
            </w:pPr>
            <w:r w:rsidRPr="00F21CF1">
              <w:rPr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A3194" w:rsidRPr="00981181" w:rsidRDefault="009A3194" w:rsidP="00FE04D5">
            <w:pPr>
              <w:contextualSpacing/>
              <w:jc w:val="both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Знання законодавства у сфері</w:t>
            </w:r>
          </w:p>
        </w:tc>
        <w:tc>
          <w:tcPr>
            <w:tcW w:w="5528" w:type="dxa"/>
            <w:shd w:val="clear" w:color="auto" w:fill="auto"/>
          </w:tcPr>
          <w:p w:rsidR="009A3194" w:rsidRPr="00981181" w:rsidRDefault="009A3194" w:rsidP="00FE04D5">
            <w:pPr>
              <w:autoSpaceDE w:val="0"/>
              <w:autoSpaceDN w:val="0"/>
              <w:ind w:right="147"/>
              <w:jc w:val="both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1.</w:t>
            </w:r>
            <w:r>
              <w:rPr>
                <w:lang w:val="uk-UA" w:eastAsia="uk-UA"/>
              </w:rPr>
              <w:t>Закону України "Про інформацію"</w:t>
            </w:r>
          </w:p>
          <w:p w:rsidR="009A3194" w:rsidRPr="00981181" w:rsidRDefault="009A3194" w:rsidP="00FE04D5">
            <w:pPr>
              <w:autoSpaceDE w:val="0"/>
              <w:autoSpaceDN w:val="0"/>
              <w:ind w:right="147"/>
              <w:contextualSpacing/>
              <w:jc w:val="both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2.Закону України "Про захист інформації в інформаційно-телекомунікаційних системах"</w:t>
            </w:r>
          </w:p>
        </w:tc>
      </w:tr>
      <w:tr w:rsidR="009A3194" w:rsidRPr="00A90F3A" w:rsidTr="00FE04D5">
        <w:trPr>
          <w:trHeight w:val="994"/>
        </w:trPr>
        <w:tc>
          <w:tcPr>
            <w:tcW w:w="562" w:type="dxa"/>
            <w:shd w:val="clear" w:color="auto" w:fill="auto"/>
          </w:tcPr>
          <w:p w:rsidR="009A3194" w:rsidRPr="00F21CF1" w:rsidRDefault="009A3194" w:rsidP="00FE04D5">
            <w:pPr>
              <w:rPr>
                <w:lang w:val="uk-UA"/>
              </w:rPr>
            </w:pPr>
            <w:r w:rsidRPr="00F21CF1">
              <w:rPr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A3194" w:rsidRPr="00981181" w:rsidRDefault="009A3194" w:rsidP="00FE04D5">
            <w:pPr>
              <w:contextualSpacing/>
              <w:jc w:val="both"/>
              <w:rPr>
                <w:lang w:val="uk-UA" w:eastAsia="uk-UA"/>
              </w:rPr>
            </w:pPr>
            <w:r w:rsidRPr="00981181">
              <w:rPr>
                <w:lang w:val="uk-UA" w:eastAsia="uk-UA"/>
              </w:rPr>
              <w:t>Знання системи захисту інформації</w:t>
            </w:r>
          </w:p>
        </w:tc>
        <w:tc>
          <w:tcPr>
            <w:tcW w:w="5528" w:type="dxa"/>
            <w:shd w:val="clear" w:color="auto" w:fill="auto"/>
          </w:tcPr>
          <w:p w:rsidR="009A3194" w:rsidRPr="00A90F3A" w:rsidRDefault="009A3194" w:rsidP="009A319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ind w:left="459" w:right="147"/>
              <w:jc w:val="both"/>
              <w:rPr>
                <w:lang w:val="uk-UA" w:eastAsia="uk-UA"/>
              </w:rPr>
            </w:pPr>
            <w:r w:rsidRPr="00A90F3A">
              <w:rPr>
                <w:lang w:val="uk-UA" w:eastAsia="uk-UA"/>
              </w:rPr>
              <w:t>Складові політики інформаційної безпеки;</w:t>
            </w:r>
          </w:p>
          <w:p w:rsidR="009A3194" w:rsidRPr="00A90F3A" w:rsidRDefault="009A3194" w:rsidP="009A319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ind w:left="459" w:right="147"/>
              <w:jc w:val="both"/>
              <w:rPr>
                <w:lang w:val="uk-UA" w:eastAsia="uk-UA"/>
              </w:rPr>
            </w:pPr>
            <w:r w:rsidRPr="00A90F3A">
              <w:rPr>
                <w:lang w:val="uk-UA" w:eastAsia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9A3194" w:rsidRPr="003D68F0" w:rsidRDefault="009A3194" w:rsidP="009A3194">
      <w:pPr>
        <w:rPr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Pr="00A3457E" w:rsidRDefault="009A3194" w:rsidP="009A3194">
      <w:pPr>
        <w:ind w:left="6521"/>
        <w:rPr>
          <w:sz w:val="28"/>
          <w:szCs w:val="28"/>
          <w:lang w:val="uk-UA"/>
        </w:rPr>
      </w:pPr>
    </w:p>
    <w:p w:rsidR="009A3194" w:rsidRDefault="009A3194" w:rsidP="009A3194">
      <w:pPr>
        <w:rPr>
          <w:sz w:val="28"/>
          <w:szCs w:val="28"/>
          <w:lang w:val="uk-UA"/>
        </w:rPr>
      </w:pPr>
    </w:p>
    <w:p w:rsidR="009A3194" w:rsidRPr="00A3457E" w:rsidRDefault="009A3194" w:rsidP="009A3194">
      <w:pPr>
        <w:rPr>
          <w:sz w:val="28"/>
          <w:szCs w:val="28"/>
          <w:lang w:val="uk-UA"/>
        </w:rPr>
      </w:pPr>
    </w:p>
    <w:p w:rsidR="008F4E15" w:rsidRPr="009A3194" w:rsidRDefault="008F4E15">
      <w:pPr>
        <w:rPr>
          <w:lang w:val="uk-UA"/>
        </w:rPr>
      </w:pPr>
    </w:p>
    <w:sectPr w:rsidR="008F4E15" w:rsidRPr="009A31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61"/>
    <w:multiLevelType w:val="hybridMultilevel"/>
    <w:tmpl w:val="92289C14"/>
    <w:lvl w:ilvl="0" w:tplc="8C447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E4A4B"/>
    <w:multiLevelType w:val="hybridMultilevel"/>
    <w:tmpl w:val="9C40D036"/>
    <w:lvl w:ilvl="0" w:tplc="307EA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3475"/>
    <w:multiLevelType w:val="hybridMultilevel"/>
    <w:tmpl w:val="CEE2353A"/>
    <w:lvl w:ilvl="0" w:tplc="6F6E6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0C90"/>
    <w:multiLevelType w:val="hybridMultilevel"/>
    <w:tmpl w:val="478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94"/>
    <w:rsid w:val="008F4E15"/>
    <w:rsid w:val="009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9C0E3-BA32-4877-9876-9BEADF4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94"/>
    <w:pPr>
      <w:ind w:left="720"/>
      <w:contextualSpacing/>
    </w:pPr>
  </w:style>
  <w:style w:type="character" w:customStyle="1" w:styleId="rvts0">
    <w:name w:val="rvts0"/>
    <w:rsid w:val="009A3194"/>
  </w:style>
  <w:style w:type="paragraph" w:customStyle="1" w:styleId="rvps14">
    <w:name w:val="rvps14"/>
    <w:basedOn w:val="a"/>
    <w:rsid w:val="009A3194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9A3194"/>
    <w:rPr>
      <w:color w:val="0563C1" w:themeColor="hyperlink"/>
      <w:u w:val="single"/>
    </w:rPr>
  </w:style>
  <w:style w:type="paragraph" w:customStyle="1" w:styleId="rvps2">
    <w:name w:val="rvps2"/>
    <w:basedOn w:val="a"/>
    <w:rsid w:val="009A3194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A31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2022-02-11T16:41:00Z</dcterms:created>
  <dcterms:modified xsi:type="dcterms:W3CDTF">2022-02-11T16:41:00Z</dcterms:modified>
</cp:coreProperties>
</file>